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0DFF" w14:textId="77777777" w:rsidR="007479FA" w:rsidRDefault="007479FA" w:rsidP="684ED978">
      <w:pPr>
        <w:pStyle w:val="p1"/>
        <w:rPr>
          <w:rStyle w:val="s1"/>
          <w:rFonts w:ascii="Arial" w:eastAsia="Arial" w:hAnsi="Arial" w:cs="Arial"/>
          <w:b/>
          <w:bCs/>
        </w:rPr>
      </w:pPr>
      <w:r w:rsidRPr="684ED978">
        <w:rPr>
          <w:rStyle w:val="s1"/>
          <w:rFonts w:ascii="Arial" w:eastAsia="Arial" w:hAnsi="Arial" w:cs="Arial"/>
          <w:b/>
          <w:bCs/>
        </w:rPr>
        <w:t>Evaluering af matematikværksteder i 3. klasse</w:t>
      </w:r>
    </w:p>
    <w:p w14:paraId="70A81EA4" w14:textId="0879F7FF" w:rsidR="684ED978" w:rsidRDefault="684ED978" w:rsidP="684ED978">
      <w:pPr>
        <w:pStyle w:val="p1"/>
        <w:rPr>
          <w:rStyle w:val="s1"/>
          <w:rFonts w:ascii="Arial" w:eastAsia="Arial" w:hAnsi="Arial" w:cs="Arial"/>
          <w:b/>
          <w:bCs/>
        </w:rPr>
      </w:pPr>
    </w:p>
    <w:p w14:paraId="0E276ACF" w14:textId="6F2AA220" w:rsidR="203AB114" w:rsidRDefault="203AB114" w:rsidP="6658D2EA">
      <w:pPr>
        <w:pStyle w:val="p1"/>
        <w:rPr>
          <w:rStyle w:val="s1"/>
          <w:rFonts w:ascii="Arial" w:eastAsia="Arial" w:hAnsi="Arial" w:cs="Arial"/>
        </w:rPr>
      </w:pPr>
      <w:r w:rsidRPr="6658D2EA">
        <w:rPr>
          <w:rStyle w:val="s1"/>
          <w:rFonts w:ascii="Arial" w:eastAsia="Arial" w:hAnsi="Arial" w:cs="Arial"/>
        </w:rPr>
        <w:t>Udarbejdet af Stephanie Prentow</w:t>
      </w:r>
    </w:p>
    <w:p w14:paraId="5C0CA822" w14:textId="77777777" w:rsidR="007479FA" w:rsidRDefault="007479FA">
      <w:pPr>
        <w:pStyle w:val="p2"/>
        <w:rPr>
          <w:rFonts w:ascii="Arial" w:eastAsia="Arial" w:hAnsi="Arial" w:cs="Arial"/>
        </w:rPr>
      </w:pPr>
    </w:p>
    <w:p w14:paraId="79371BAE" w14:textId="3C35170A" w:rsidR="684ED978" w:rsidRDefault="684ED978" w:rsidP="684ED978">
      <w:pPr>
        <w:pStyle w:val="p2"/>
        <w:rPr>
          <w:rFonts w:ascii="Arial" w:eastAsia="Arial" w:hAnsi="Arial" w:cs="Arial"/>
        </w:rPr>
      </w:pPr>
    </w:p>
    <w:p w14:paraId="3F1A817F" w14:textId="551A3ACC" w:rsidR="684ED978" w:rsidRDefault="684ED978" w:rsidP="684ED978">
      <w:pPr>
        <w:pStyle w:val="p2"/>
        <w:rPr>
          <w:rFonts w:ascii="Arial" w:eastAsia="Arial" w:hAnsi="Arial" w:cs="Arial"/>
        </w:rPr>
      </w:pPr>
    </w:p>
    <w:p w14:paraId="6C9AF88A" w14:textId="3129497E" w:rsidR="007479FA" w:rsidRDefault="007479FA">
      <w:pPr>
        <w:pStyle w:val="p1"/>
        <w:rPr>
          <w:rStyle w:val="s2"/>
          <w:rFonts w:ascii="Arial" w:eastAsia="Arial" w:hAnsi="Arial" w:cs="Arial"/>
        </w:rPr>
      </w:pPr>
      <w:r w:rsidRPr="6658D2EA">
        <w:rPr>
          <w:rStyle w:val="s2"/>
          <w:rFonts w:ascii="Arial" w:eastAsia="Arial" w:hAnsi="Arial" w:cs="Arial"/>
        </w:rPr>
        <w:t xml:space="preserve">I forbindelse med matematikundervisningen i 3. klasse er der </w:t>
      </w:r>
      <w:r w:rsidR="5CB01FD9" w:rsidRPr="6658D2EA">
        <w:rPr>
          <w:rStyle w:val="s2"/>
          <w:rFonts w:ascii="Arial" w:eastAsia="Arial" w:hAnsi="Arial" w:cs="Arial"/>
        </w:rPr>
        <w:t xml:space="preserve">i skoleåret 24/25 </w:t>
      </w:r>
      <w:r w:rsidRPr="6658D2EA">
        <w:rPr>
          <w:rStyle w:val="s2"/>
          <w:rFonts w:ascii="Arial" w:eastAsia="Arial" w:hAnsi="Arial" w:cs="Arial"/>
        </w:rPr>
        <w:t xml:space="preserve">arbejdet med en værkstedsform, hvor eleverne skiftevis deltog i forskellige aktiviteter. Disse omfattede spil </w:t>
      </w:r>
      <w:r w:rsidR="0C273B47" w:rsidRPr="6658D2EA">
        <w:rPr>
          <w:rStyle w:val="s2"/>
          <w:rFonts w:ascii="Arial" w:eastAsia="Arial" w:hAnsi="Arial" w:cs="Arial"/>
        </w:rPr>
        <w:t>som</w:t>
      </w:r>
      <w:r w:rsidRPr="6658D2EA">
        <w:rPr>
          <w:rStyle w:val="s2"/>
          <w:rFonts w:ascii="Arial" w:eastAsia="Arial" w:hAnsi="Arial" w:cs="Arial"/>
        </w:rPr>
        <w:t xml:space="preserve"> </w:t>
      </w:r>
      <w:r w:rsidRPr="6658D2EA">
        <w:rPr>
          <w:rStyle w:val="s3"/>
          <w:rFonts w:ascii="Arial" w:eastAsia="Arial" w:hAnsi="Arial" w:cs="Arial"/>
        </w:rPr>
        <w:t>Monster</w:t>
      </w:r>
      <w:r w:rsidRPr="6658D2EA">
        <w:rPr>
          <w:rStyle w:val="s2"/>
          <w:rFonts w:ascii="Arial" w:eastAsia="Arial" w:hAnsi="Arial" w:cs="Arial"/>
        </w:rPr>
        <w:t>, bilspil og vendespil med gangetabeller, samt en mindre gruppe, der sammen med læreren arbejdede med faglige opgaver i matematikbogen</w:t>
      </w:r>
      <w:r w:rsidR="28C951B8" w:rsidRPr="6658D2EA">
        <w:rPr>
          <w:rStyle w:val="s2"/>
          <w:rFonts w:ascii="Arial" w:eastAsia="Arial" w:hAnsi="Arial" w:cs="Arial"/>
        </w:rPr>
        <w:t xml:space="preserve"> Format 3</w:t>
      </w:r>
      <w:r w:rsidRPr="6658D2EA">
        <w:rPr>
          <w:rStyle w:val="s2"/>
          <w:rFonts w:ascii="Arial" w:eastAsia="Arial" w:hAnsi="Arial" w:cs="Arial"/>
        </w:rPr>
        <w:t>.</w:t>
      </w:r>
    </w:p>
    <w:p w14:paraId="103DBE52" w14:textId="77777777" w:rsidR="007479FA" w:rsidRDefault="007479FA">
      <w:pPr>
        <w:pStyle w:val="p2"/>
        <w:rPr>
          <w:rFonts w:ascii="Arial" w:eastAsia="Arial" w:hAnsi="Arial" w:cs="Arial"/>
        </w:rPr>
      </w:pPr>
    </w:p>
    <w:p w14:paraId="2BBB10C1" w14:textId="77777777" w:rsidR="007479FA" w:rsidRDefault="007479FA">
      <w:pPr>
        <w:pStyle w:val="p1"/>
        <w:rPr>
          <w:rStyle w:val="s2"/>
          <w:rFonts w:ascii="Arial" w:eastAsia="Arial" w:hAnsi="Arial" w:cs="Arial"/>
        </w:rPr>
      </w:pPr>
      <w:r w:rsidRPr="6658D2EA">
        <w:rPr>
          <w:rStyle w:val="s2"/>
          <w:rFonts w:ascii="Arial" w:eastAsia="Arial" w:hAnsi="Arial" w:cs="Arial"/>
        </w:rPr>
        <w:t>Organiseringen i værksteder bidrog til hyppigere aktivitetsskift, hvilket skabte et tydeligt flow i undervisningen. Eleverne fik mulighed for at arbejde mere selvstændigt, hvilket styrkede deres ansvar for egen læring. Samtidig gav strukturen læreren mulighed for at prioritere tid og støtte til den mindre gruppe, der havde behov for direkte vejledning.</w:t>
      </w:r>
    </w:p>
    <w:p w14:paraId="427E8219" w14:textId="77777777" w:rsidR="007479FA" w:rsidRDefault="007479FA">
      <w:pPr>
        <w:pStyle w:val="p2"/>
        <w:rPr>
          <w:rFonts w:ascii="Arial" w:eastAsia="Arial" w:hAnsi="Arial" w:cs="Arial"/>
        </w:rPr>
      </w:pPr>
    </w:p>
    <w:p w14:paraId="0A51C596" w14:textId="77777777" w:rsidR="007479FA" w:rsidRDefault="007479FA">
      <w:pPr>
        <w:pStyle w:val="p1"/>
        <w:rPr>
          <w:rStyle w:val="s2"/>
          <w:rFonts w:ascii="Arial" w:eastAsia="Arial" w:hAnsi="Arial" w:cs="Arial"/>
        </w:rPr>
      </w:pPr>
      <w:r w:rsidRPr="6658D2EA">
        <w:rPr>
          <w:rStyle w:val="s2"/>
          <w:rFonts w:ascii="Arial" w:eastAsia="Arial" w:hAnsi="Arial" w:cs="Arial"/>
        </w:rPr>
        <w:t>Eleverne fremstod generelt engagerede i undervisningen, hvilket kan tilskrives den varierede arbejdsform og inddragelsen af spil. Gennem de legende aktiviteter fik eleverne mulighed for at anvende deres talkendskab og forskellige regnestrategier på en anderledes måde end i traditionel opgaveløsning. Dette bidrog både til motivation og til en styrkelse af de faglige kompetencer.</w:t>
      </w:r>
    </w:p>
    <w:p w14:paraId="7E15D06C" w14:textId="77777777" w:rsidR="007479FA" w:rsidRDefault="007479FA">
      <w:pPr>
        <w:pStyle w:val="p2"/>
        <w:rPr>
          <w:rFonts w:ascii="Arial" w:eastAsia="Arial" w:hAnsi="Arial" w:cs="Arial"/>
        </w:rPr>
      </w:pPr>
    </w:p>
    <w:p w14:paraId="25E9C3A2" w14:textId="1CA92716" w:rsidR="007479FA" w:rsidRDefault="007479FA">
      <w:pPr>
        <w:pStyle w:val="p1"/>
        <w:rPr>
          <w:rStyle w:val="s1"/>
          <w:rFonts w:ascii="Arial" w:eastAsia="Arial" w:hAnsi="Arial" w:cs="Arial"/>
        </w:rPr>
      </w:pPr>
      <w:r w:rsidRPr="6658D2EA">
        <w:rPr>
          <w:rStyle w:val="s1"/>
          <w:rFonts w:ascii="Arial" w:eastAsia="Arial" w:hAnsi="Arial" w:cs="Arial"/>
        </w:rPr>
        <w:t>Konklusion</w:t>
      </w:r>
    </w:p>
    <w:p w14:paraId="1402F632" w14:textId="77777777" w:rsidR="007479FA" w:rsidRDefault="007479FA">
      <w:pPr>
        <w:pStyle w:val="p1"/>
        <w:rPr>
          <w:rStyle w:val="s2"/>
          <w:rFonts w:ascii="Arial" w:eastAsia="Arial" w:hAnsi="Arial" w:cs="Arial"/>
        </w:rPr>
      </w:pPr>
      <w:r w:rsidRPr="6658D2EA">
        <w:rPr>
          <w:rStyle w:val="s2"/>
          <w:rFonts w:ascii="Arial" w:eastAsia="Arial" w:hAnsi="Arial" w:cs="Arial"/>
        </w:rPr>
        <w:t>Værkstedsformen vurderes som et hensigtsmæssigt didaktisk greb, der både understøtter differentiering, fremmer elevengagement og giver læreren mulighed for at målrette sin undervisning. Formen kan med fordel gentages og eventuelt videreudvikles med nye spil og aktiviteter, så variationen fastholdes, og elevernes motivation fortsat styrkes. Samtidig kan en systematisk planlægning af grupperne sikre, at alle elever får det rette faglige udbytte både i de selvstændige aktiviteter og i arbejdet med læreren.</w:t>
      </w:r>
    </w:p>
    <w:p w14:paraId="7E31DFFE" w14:textId="56F49B9F" w:rsidR="6658D2EA" w:rsidRDefault="6658D2EA" w:rsidP="6658D2EA">
      <w:pPr>
        <w:pStyle w:val="p1"/>
        <w:rPr>
          <w:rStyle w:val="s2"/>
          <w:rFonts w:ascii="Arial" w:eastAsia="Arial" w:hAnsi="Arial" w:cs="Arial"/>
        </w:rPr>
      </w:pPr>
    </w:p>
    <w:p w14:paraId="66F6981B" w14:textId="01EE8823" w:rsidR="00560277" w:rsidRPr="00560277" w:rsidRDefault="3E3B1C7E" w:rsidP="684ED978">
      <w:pPr>
        <w:spacing w:before="100" w:beforeAutospacing="1" w:after="100" w:afterAutospacing="1" w:line="240" w:lineRule="auto"/>
        <w:outlineLvl w:val="1"/>
        <w:rPr>
          <w:rFonts w:ascii="Arial" w:eastAsia="Arial" w:hAnsi="Arial" w:cs="Arial"/>
          <w:b/>
          <w:bCs/>
          <w:kern w:val="0"/>
          <w14:ligatures w14:val="none"/>
        </w:rPr>
      </w:pPr>
      <w:r w:rsidRPr="684ED978">
        <w:rPr>
          <w:rFonts w:ascii="Arial" w:eastAsia="Arial" w:hAnsi="Arial" w:cs="Arial"/>
          <w:b/>
          <w:bCs/>
        </w:rPr>
        <w:t>Fælles mål for matematik 1.–3. klasse</w:t>
      </w:r>
    </w:p>
    <w:p w14:paraId="66AE2A9E" w14:textId="286DFCE7" w:rsidR="684ED978" w:rsidRDefault="684ED978" w:rsidP="684ED978">
      <w:pPr>
        <w:spacing w:beforeAutospacing="1" w:afterAutospacing="1" w:line="240" w:lineRule="auto"/>
        <w:outlineLvl w:val="1"/>
        <w:rPr>
          <w:rFonts w:ascii="Arial" w:eastAsia="Arial" w:hAnsi="Arial" w:cs="Arial"/>
          <w:b/>
          <w:bCs/>
        </w:rPr>
      </w:pPr>
    </w:p>
    <w:p w14:paraId="1D36400B" w14:textId="77777777" w:rsidR="00560277" w:rsidRPr="00560277" w:rsidRDefault="00560277" w:rsidP="00560277">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Ifølge Fælles mål skal matematikundervisningen i 1.–3. klasse udvikle elevernes matematiske kompetencer, viden og færdigheder, herunder inden for disse centrale områder:</w:t>
      </w:r>
    </w:p>
    <w:p w14:paraId="45439F9E" w14:textId="77777777" w:rsidR="00560277" w:rsidRPr="00560277" w:rsidRDefault="00560277" w:rsidP="00560277">
      <w:pPr>
        <w:numPr>
          <w:ilvl w:val="0"/>
          <w:numId w:val="1"/>
        </w:num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Matematiske kompetencer</w:t>
      </w:r>
    </w:p>
    <w:p w14:paraId="4E4F3E06" w14:textId="77777777" w:rsidR="00560277" w:rsidRPr="00560277" w:rsidRDefault="00560277" w:rsidP="00560277">
      <w:pPr>
        <w:numPr>
          <w:ilvl w:val="0"/>
          <w:numId w:val="1"/>
        </w:num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Tal og algebra</w:t>
      </w:r>
    </w:p>
    <w:p w14:paraId="510B4CE9" w14:textId="77777777" w:rsidR="00560277" w:rsidRPr="00560277" w:rsidRDefault="00560277" w:rsidP="00560277">
      <w:pPr>
        <w:numPr>
          <w:ilvl w:val="0"/>
          <w:numId w:val="1"/>
        </w:num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Statistik og sandsynlighed</w:t>
      </w:r>
    </w:p>
    <w:p w14:paraId="39927397" w14:textId="77777777" w:rsidR="00560277" w:rsidRPr="00560277" w:rsidRDefault="00560277" w:rsidP="00560277">
      <w:pPr>
        <w:numPr>
          <w:ilvl w:val="0"/>
          <w:numId w:val="1"/>
        </w:num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 xml:space="preserve">Geometri og måling  </w:t>
      </w:r>
    </w:p>
    <w:p w14:paraId="426945BE" w14:textId="77777777" w:rsidR="00560277" w:rsidRPr="00560277" w:rsidRDefault="00560277" w:rsidP="00560277">
      <w:pPr>
        <w:spacing w:before="100" w:beforeAutospacing="1" w:after="100" w:afterAutospacing="1" w:line="240" w:lineRule="auto"/>
        <w:rPr>
          <w:rFonts w:ascii="Arial" w:eastAsia="Arial" w:hAnsi="Arial" w:cs="Arial"/>
          <w:kern w:val="0"/>
          <w14:ligatures w14:val="none"/>
        </w:rPr>
      </w:pPr>
    </w:p>
    <w:p w14:paraId="34D366E2" w14:textId="77777777" w:rsidR="00560277" w:rsidRPr="00560277" w:rsidRDefault="00560277" w:rsidP="684ED978">
      <w:pPr>
        <w:spacing w:before="100" w:beforeAutospacing="1" w:after="100" w:afterAutospacing="1" w:line="240" w:lineRule="auto"/>
        <w:rPr>
          <w:rFonts w:ascii="Arial" w:eastAsia="Arial" w:hAnsi="Arial" w:cs="Arial"/>
        </w:rPr>
      </w:pPr>
      <w:r w:rsidRPr="6658D2EA">
        <w:rPr>
          <w:rFonts w:ascii="Arial" w:eastAsia="Arial" w:hAnsi="Arial" w:cs="Arial"/>
          <w:kern w:val="0"/>
          <w14:ligatures w14:val="none"/>
        </w:rPr>
        <w:t xml:space="preserve">Desuden er der generelle trinmål efter 3. klasse, fx at eleverne kan udvikle metoder til beregninger med naturlige tal, kende titalssystemets opbygning, kunne bruge hovedregning, forstå og anvende små multiplikationstabeller mv.  </w:t>
      </w:r>
    </w:p>
    <w:p w14:paraId="08B62DBF" w14:textId="582B8E7B" w:rsidR="00560277" w:rsidRPr="00560277" w:rsidRDefault="00560277" w:rsidP="684ED978">
      <w:pPr>
        <w:spacing w:before="100" w:beforeAutospacing="1" w:after="100" w:afterAutospacing="1" w:line="240" w:lineRule="auto"/>
        <w:rPr>
          <w:rFonts w:ascii="Arial" w:eastAsia="Arial" w:hAnsi="Arial" w:cs="Arial"/>
        </w:rPr>
      </w:pPr>
    </w:p>
    <w:p w14:paraId="049853E1" w14:textId="16CEA653" w:rsidR="00560277" w:rsidRPr="00560277" w:rsidRDefault="00560277" w:rsidP="684ED978">
      <w:pPr>
        <w:spacing w:before="100" w:beforeAutospacing="1" w:after="100" w:afterAutospacing="1" w:line="240" w:lineRule="auto"/>
        <w:rPr>
          <w:rFonts w:ascii="Arial" w:eastAsia="Arial" w:hAnsi="Arial" w:cs="Arial"/>
        </w:rPr>
      </w:pPr>
    </w:p>
    <w:p w14:paraId="04906B11" w14:textId="1BBC9707" w:rsidR="00560277" w:rsidRPr="00560277" w:rsidRDefault="00560277" w:rsidP="684ED978">
      <w:pPr>
        <w:spacing w:before="100" w:beforeAutospacing="1" w:after="100" w:afterAutospacing="1" w:line="240" w:lineRule="auto"/>
        <w:rPr>
          <w:rFonts w:ascii="Arial" w:eastAsia="Arial" w:hAnsi="Arial" w:cs="Arial"/>
        </w:rPr>
      </w:pPr>
    </w:p>
    <w:p w14:paraId="2EDD4AEB" w14:textId="4EAF6049" w:rsidR="00560277" w:rsidRPr="00560277" w:rsidRDefault="00560277" w:rsidP="684ED978">
      <w:pPr>
        <w:spacing w:before="100" w:beforeAutospacing="1" w:after="100" w:afterAutospacing="1" w:line="240" w:lineRule="auto"/>
        <w:rPr>
          <w:rFonts w:ascii="Arial" w:eastAsia="Arial" w:hAnsi="Arial" w:cs="Arial"/>
        </w:rPr>
      </w:pPr>
    </w:p>
    <w:p w14:paraId="22689436" w14:textId="3F820746" w:rsidR="00560277" w:rsidRPr="00560277" w:rsidRDefault="00560277" w:rsidP="684ED978">
      <w:pPr>
        <w:spacing w:before="100" w:beforeAutospacing="1" w:after="100" w:afterAutospacing="1" w:line="240" w:lineRule="auto"/>
        <w:rPr>
          <w:rFonts w:ascii="Arial" w:eastAsia="Arial" w:hAnsi="Arial" w:cs="Arial"/>
        </w:rPr>
      </w:pPr>
    </w:p>
    <w:p w14:paraId="322CA442" w14:textId="16FD3150" w:rsidR="00560277" w:rsidRPr="00560277" w:rsidRDefault="0A53B52A" w:rsidP="684ED978">
      <w:pPr>
        <w:spacing w:before="100" w:beforeAutospacing="1" w:after="100" w:afterAutospacing="1" w:line="240" w:lineRule="auto"/>
        <w:outlineLvl w:val="1"/>
        <w:rPr>
          <w:rFonts w:ascii="Arial" w:eastAsia="Arial" w:hAnsi="Arial" w:cs="Arial"/>
          <w:b/>
          <w:bCs/>
        </w:rPr>
      </w:pPr>
      <w:r w:rsidRPr="684ED978">
        <w:rPr>
          <w:rFonts w:ascii="Arial" w:eastAsia="Arial" w:hAnsi="Arial" w:cs="Arial"/>
          <w:b/>
          <w:bCs/>
        </w:rPr>
        <w:t>Kobling mellem værkstedsformen og Fælles mål</w:t>
      </w:r>
    </w:p>
    <w:p w14:paraId="4147DCBD" w14:textId="5D2454A1" w:rsidR="684ED978" w:rsidRDefault="684ED978" w:rsidP="684ED978">
      <w:pPr>
        <w:spacing w:beforeAutospacing="1" w:afterAutospacing="1" w:line="240" w:lineRule="auto"/>
        <w:outlineLvl w:val="1"/>
        <w:rPr>
          <w:rFonts w:ascii="Arial" w:eastAsia="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gridCol w:w="7213"/>
      </w:tblGrid>
      <w:tr w:rsidR="000F050C" w:rsidRPr="000F050C" w14:paraId="0D05B0C3" w14:textId="77777777" w:rsidTr="684ED978">
        <w:trPr>
          <w:tblHeader/>
          <w:tblCellSpacing w:w="15" w:type="dxa"/>
        </w:trPr>
        <w:tc>
          <w:tcPr>
            <w:tcW w:w="0" w:type="auto"/>
            <w:tcBorders>
              <w:bottom w:val="single" w:sz="2" w:space="0" w:color="000000" w:themeColor="text1"/>
            </w:tcBorders>
            <w:vAlign w:val="center"/>
            <w:hideMark/>
          </w:tcPr>
          <w:p w14:paraId="0C890FC9" w14:textId="77777777" w:rsidR="000F050C" w:rsidRPr="000F050C" w:rsidRDefault="000F050C" w:rsidP="000F050C">
            <w:pPr>
              <w:spacing w:before="100" w:beforeAutospacing="1" w:after="100" w:afterAutospacing="1" w:line="240" w:lineRule="auto"/>
              <w:jc w:val="center"/>
              <w:rPr>
                <w:rFonts w:ascii="Arial" w:eastAsia="Arial" w:hAnsi="Arial" w:cs="Arial"/>
                <w:b/>
                <w:bCs/>
                <w:kern w:val="0"/>
                <w14:ligatures w14:val="none"/>
              </w:rPr>
            </w:pPr>
            <w:r w:rsidRPr="6658D2EA">
              <w:rPr>
                <w:rFonts w:ascii="Arial" w:eastAsia="Arial" w:hAnsi="Arial" w:cs="Arial"/>
                <w:b/>
                <w:bCs/>
                <w:kern w:val="0"/>
                <w14:ligatures w14:val="none"/>
              </w:rPr>
              <w:t>Måltype / mål fra Fælles mål</w:t>
            </w:r>
          </w:p>
        </w:tc>
        <w:tc>
          <w:tcPr>
            <w:tcW w:w="0" w:type="auto"/>
            <w:tcBorders>
              <w:bottom w:val="single" w:sz="2" w:space="0" w:color="000000" w:themeColor="text1"/>
            </w:tcBorders>
            <w:vAlign w:val="center"/>
            <w:hideMark/>
          </w:tcPr>
          <w:p w14:paraId="012F420D" w14:textId="77777777" w:rsidR="000F050C" w:rsidRPr="000F050C" w:rsidRDefault="000F050C" w:rsidP="000F050C">
            <w:pPr>
              <w:spacing w:before="100" w:beforeAutospacing="1" w:after="100" w:afterAutospacing="1" w:line="240" w:lineRule="auto"/>
              <w:jc w:val="center"/>
              <w:rPr>
                <w:rFonts w:ascii="Arial" w:eastAsia="Arial" w:hAnsi="Arial" w:cs="Arial"/>
                <w:b/>
                <w:bCs/>
                <w:kern w:val="0"/>
                <w14:ligatures w14:val="none"/>
              </w:rPr>
            </w:pPr>
            <w:r w:rsidRPr="6658D2EA">
              <w:rPr>
                <w:rFonts w:ascii="Arial" w:eastAsia="Arial" w:hAnsi="Arial" w:cs="Arial"/>
                <w:b/>
                <w:bCs/>
                <w:kern w:val="0"/>
                <w14:ligatures w14:val="none"/>
              </w:rPr>
              <w:t>Hvordan værkstedsaktiviteterne understøtter dette</w:t>
            </w:r>
          </w:p>
        </w:tc>
      </w:tr>
      <w:tr w:rsidR="000F050C" w:rsidRPr="000F050C" w14:paraId="4514AD8E" w14:textId="77777777" w:rsidTr="684ED978">
        <w:trPr>
          <w:tblCellSpacing w:w="15" w:type="dxa"/>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E5AD99F"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Tal og algebra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6E5B7141"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Spil med gangetabeller, vendespil mv. giver eleverne mulighed for at øve små multiplikationstabeller og forstå forbindelsen mellem addition og multiplikation. Derigennem udvikles deres metoder til beregninger med naturlige tal.</w:t>
            </w:r>
          </w:p>
        </w:tc>
      </w:tr>
      <w:tr w:rsidR="000F050C" w:rsidRPr="000F050C" w14:paraId="653FED8E" w14:textId="77777777" w:rsidTr="684ED978">
        <w:trPr>
          <w:tblCellSpacing w:w="15" w:type="dxa"/>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5530810"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Matematiske kompetencer</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D6921BC"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Værkstedsformen fremmer selvstændighed og strategisk tænkning: eleverne vælger blandt aktiviteter, skifter mellem spil og bogarbejde, og må anvende egne strategier/regnestrategier. Derudover øves eleverne i at handle hensigtsmæssigt med matematik i praksis.</w:t>
            </w:r>
          </w:p>
        </w:tc>
      </w:tr>
      <w:tr w:rsidR="000F050C" w:rsidRPr="000F050C" w14:paraId="56DF68E3" w14:textId="77777777" w:rsidTr="684ED978">
        <w:trPr>
          <w:tblCellSpacing w:w="15" w:type="dxa"/>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60894CA2"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Motivation, variation og klassekultur (indirekte, men centralt)</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E4DB9D9"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Når aktiviteterne varierer og indeholder spil, øges elevengagementet. Det støtter målet om, at matematikundervisning ikke alene er skriftligt i bøger, men også erfaring, aktivitet og leg.</w:t>
            </w:r>
          </w:p>
        </w:tc>
      </w:tr>
      <w:tr w:rsidR="000F050C" w:rsidRPr="000F050C" w14:paraId="1F769A2F" w14:textId="77777777" w:rsidTr="684ED978">
        <w:trPr>
          <w:tblCellSpacing w:w="15" w:type="dxa"/>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3C7A900"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Differentiering</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DAB4B5A" w14:textId="4EE9DE7C" w:rsidR="000F050C" w:rsidRPr="000F050C" w:rsidRDefault="434496E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Lille</w:t>
            </w:r>
            <w:r w:rsidR="000F050C" w:rsidRPr="6658D2EA">
              <w:rPr>
                <w:rFonts w:ascii="Arial" w:eastAsia="Arial" w:hAnsi="Arial" w:cs="Arial"/>
                <w:kern w:val="0"/>
                <w14:ligatures w14:val="none"/>
              </w:rPr>
              <w:t xml:space="preserve"> gruppe med lærer og </w:t>
            </w:r>
            <w:r w:rsidR="08AF5BF5" w:rsidRPr="6658D2EA">
              <w:rPr>
                <w:rFonts w:ascii="Arial" w:eastAsia="Arial" w:hAnsi="Arial" w:cs="Arial"/>
                <w:kern w:val="0"/>
                <w14:ligatures w14:val="none"/>
              </w:rPr>
              <w:t>større</w:t>
            </w:r>
            <w:r w:rsidR="2E6110F4" w:rsidRPr="6658D2EA">
              <w:rPr>
                <w:rFonts w:ascii="Arial" w:eastAsia="Arial" w:hAnsi="Arial" w:cs="Arial"/>
                <w:kern w:val="0"/>
                <w14:ligatures w14:val="none"/>
              </w:rPr>
              <w:t>ø</w:t>
            </w:r>
            <w:r w:rsidR="000F050C" w:rsidRPr="6658D2EA">
              <w:rPr>
                <w:rFonts w:ascii="Arial" w:eastAsia="Arial" w:hAnsi="Arial" w:cs="Arial"/>
                <w:kern w:val="0"/>
                <w14:ligatures w14:val="none"/>
              </w:rPr>
              <w:t xml:space="preserve"> gruppe med spil og selvstændigt arbejde giver mulighed for at </w:t>
            </w:r>
            <w:r w:rsidR="08AF5BF5" w:rsidRPr="6658D2EA">
              <w:rPr>
                <w:rFonts w:ascii="Arial" w:eastAsia="Arial" w:hAnsi="Arial" w:cs="Arial"/>
                <w:kern w:val="0"/>
                <w14:ligatures w14:val="none"/>
              </w:rPr>
              <w:t>tilpasse</w:t>
            </w:r>
            <w:r w:rsidR="000F050C" w:rsidRPr="6658D2EA">
              <w:rPr>
                <w:rFonts w:ascii="Arial" w:eastAsia="Arial" w:hAnsi="Arial" w:cs="Arial"/>
                <w:kern w:val="0"/>
                <w14:ligatures w14:val="none"/>
              </w:rPr>
              <w:t xml:space="preserve"> undervisningen til elevernes niveau, hvilket passer med målet om, at alle elever udvikler faglig viden og færdigheder i deres eget niveau.</w:t>
            </w:r>
          </w:p>
        </w:tc>
      </w:tr>
      <w:tr w:rsidR="000F050C" w:rsidRPr="000F050C" w14:paraId="10B79BDA" w14:textId="77777777" w:rsidTr="684ED978">
        <w:trPr>
          <w:tblCellSpacing w:w="15" w:type="dxa"/>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405B26D"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Hovedregning og strategier for regning</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99ABFAA" w14:textId="77777777" w:rsidR="000F050C" w:rsidRPr="000F050C" w:rsidRDefault="000F050C" w:rsidP="000F050C">
            <w:pPr>
              <w:spacing w:before="100" w:beforeAutospacing="1" w:after="100" w:afterAutospacing="1" w:line="240" w:lineRule="auto"/>
              <w:rPr>
                <w:rFonts w:ascii="Arial" w:eastAsia="Arial" w:hAnsi="Arial" w:cs="Arial"/>
                <w:kern w:val="0"/>
                <w14:ligatures w14:val="none"/>
              </w:rPr>
            </w:pPr>
            <w:r w:rsidRPr="6658D2EA">
              <w:rPr>
                <w:rFonts w:ascii="Arial" w:eastAsia="Arial" w:hAnsi="Arial" w:cs="Arial"/>
                <w:kern w:val="0"/>
                <w14:ligatures w14:val="none"/>
              </w:rPr>
              <w:t>Aktiv anvendelse af regnestrategier i spil (fx hurtige gentagne regneopgaver, tabeller) fremmer automatisering og fleksibilitet i hovedregning, som er ønsket i fælles mål.</w:t>
            </w:r>
          </w:p>
        </w:tc>
      </w:tr>
    </w:tbl>
    <w:p w14:paraId="0EC8E918" w14:textId="22263A81" w:rsidR="00C079F1" w:rsidRPr="00C079F1" w:rsidRDefault="272740C0" w:rsidP="684ED978">
      <w:pPr>
        <w:spacing w:before="100" w:beforeAutospacing="1" w:after="100" w:afterAutospacing="1" w:line="240" w:lineRule="auto"/>
        <w:outlineLvl w:val="1"/>
        <w:rPr>
          <w:rFonts w:ascii="Arial" w:eastAsia="Arial" w:hAnsi="Arial" w:cs="Arial"/>
          <w:b/>
          <w:bCs/>
          <w:kern w:val="0"/>
          <w14:ligatures w14:val="none"/>
        </w:rPr>
      </w:pPr>
      <w:r w:rsidRPr="684ED978">
        <w:rPr>
          <w:rFonts w:ascii="Arial" w:eastAsia="Arial" w:hAnsi="Arial" w:cs="Arial"/>
          <w:b/>
          <w:bCs/>
        </w:rPr>
        <w:t>Mulige forbedringer / fokusområder ift. Fælles mål</w:t>
      </w:r>
    </w:p>
    <w:p w14:paraId="4CA2F04B" w14:textId="77777777" w:rsidR="00C079F1" w:rsidRPr="00C079F1" w:rsidRDefault="00C079F1" w:rsidP="684ED978">
      <w:pPr>
        <w:spacing w:before="100" w:beforeAutospacing="1" w:after="100" w:afterAutospacing="1" w:line="240" w:lineRule="auto"/>
        <w:rPr>
          <w:rFonts w:ascii="Arial" w:eastAsia="Arial" w:hAnsi="Arial" w:cs="Arial"/>
          <w:kern w:val="0"/>
          <w14:ligatures w14:val="none"/>
        </w:rPr>
      </w:pPr>
      <w:r w:rsidRPr="684ED978">
        <w:rPr>
          <w:rFonts w:ascii="Arial" w:eastAsia="Arial" w:hAnsi="Arial" w:cs="Arial"/>
          <w:kern w:val="0"/>
          <w14:ligatures w14:val="none"/>
        </w:rPr>
        <w:t>For at sikre, at værkstedsformen helt dækker de krav, der står i Fælles mål, kan man overveje:</w:t>
      </w:r>
    </w:p>
    <w:p w14:paraId="21E95E64" w14:textId="77777777" w:rsidR="00C079F1" w:rsidRPr="00C079F1" w:rsidRDefault="00C079F1" w:rsidP="684ED978">
      <w:pPr>
        <w:numPr>
          <w:ilvl w:val="0"/>
          <w:numId w:val="2"/>
        </w:numPr>
        <w:spacing w:before="100" w:beforeAutospacing="1" w:after="100" w:afterAutospacing="1" w:line="240" w:lineRule="auto"/>
        <w:rPr>
          <w:rFonts w:ascii="Arial" w:eastAsia="Arial" w:hAnsi="Arial" w:cs="Arial"/>
          <w:kern w:val="0"/>
          <w14:ligatures w14:val="none"/>
        </w:rPr>
      </w:pPr>
      <w:r w:rsidRPr="684ED978">
        <w:rPr>
          <w:rFonts w:ascii="Arial" w:eastAsia="Arial" w:hAnsi="Arial" w:cs="Arial"/>
          <w:kern w:val="0"/>
          <w14:ligatures w14:val="none"/>
        </w:rPr>
        <w:t>At sikre, at eleverne også arbejder med titalssystemets opbygning (fx trecifrede tal, positioner: enere / tiere / hundreder), hvis spil og aktiviteter giver mulighed for det.</w:t>
      </w:r>
    </w:p>
    <w:p w14:paraId="10D6E072" w14:textId="77777777" w:rsidR="00C079F1" w:rsidRPr="00C079F1" w:rsidRDefault="00C079F1" w:rsidP="684ED978">
      <w:pPr>
        <w:numPr>
          <w:ilvl w:val="0"/>
          <w:numId w:val="2"/>
        </w:numPr>
        <w:spacing w:before="100" w:beforeAutospacing="1" w:after="100" w:afterAutospacing="1" w:line="240" w:lineRule="auto"/>
        <w:rPr>
          <w:rFonts w:ascii="Arial" w:eastAsia="Arial" w:hAnsi="Arial" w:cs="Arial"/>
          <w:kern w:val="0"/>
          <w14:ligatures w14:val="none"/>
        </w:rPr>
      </w:pPr>
      <w:r w:rsidRPr="684ED978">
        <w:rPr>
          <w:rFonts w:ascii="Arial" w:eastAsia="Arial" w:hAnsi="Arial" w:cs="Arial"/>
          <w:kern w:val="0"/>
          <w14:ligatures w14:val="none"/>
        </w:rPr>
        <w:t>At integrere øvelser, der træner overslagsregning og vurdering af svar, ikke kun nøjagtige svar, så eleverne får erfaring med regnefejl og estimation.</w:t>
      </w:r>
    </w:p>
    <w:p w14:paraId="1E6D3F25" w14:textId="77777777" w:rsidR="00C079F1" w:rsidRPr="00C079F1" w:rsidRDefault="00C079F1" w:rsidP="684ED978">
      <w:pPr>
        <w:numPr>
          <w:ilvl w:val="0"/>
          <w:numId w:val="2"/>
        </w:numPr>
        <w:spacing w:before="100" w:beforeAutospacing="1" w:after="100" w:afterAutospacing="1" w:line="240" w:lineRule="auto"/>
        <w:rPr>
          <w:rFonts w:ascii="Arial" w:eastAsia="Arial" w:hAnsi="Arial" w:cs="Arial"/>
          <w:kern w:val="0"/>
          <w14:ligatures w14:val="none"/>
        </w:rPr>
      </w:pPr>
      <w:r w:rsidRPr="684ED978">
        <w:rPr>
          <w:rFonts w:ascii="Arial" w:eastAsia="Arial" w:hAnsi="Arial" w:cs="Arial"/>
          <w:kern w:val="0"/>
          <w14:ligatures w14:val="none"/>
        </w:rPr>
        <w:t>At der i spil eller bogarbejde er eksplicit fokus på elevernes metoder: hvordan de har tænkt, og hvorfor, så de også udvikler forståelse og ikke blot rutine.</w:t>
      </w:r>
    </w:p>
    <w:p w14:paraId="601C3E17" w14:textId="77777777" w:rsidR="00C079F1" w:rsidRPr="00C079F1" w:rsidRDefault="00C079F1" w:rsidP="684ED978">
      <w:pPr>
        <w:numPr>
          <w:ilvl w:val="0"/>
          <w:numId w:val="2"/>
        </w:numPr>
        <w:spacing w:before="100" w:beforeAutospacing="1" w:after="100" w:afterAutospacing="1" w:line="240" w:lineRule="auto"/>
        <w:rPr>
          <w:rFonts w:ascii="Arial" w:eastAsia="Arial" w:hAnsi="Arial" w:cs="Arial"/>
          <w:kern w:val="0"/>
          <w14:ligatures w14:val="none"/>
        </w:rPr>
      </w:pPr>
      <w:r w:rsidRPr="684ED978">
        <w:rPr>
          <w:rFonts w:ascii="Arial" w:eastAsia="Arial" w:hAnsi="Arial" w:cs="Arial"/>
          <w:kern w:val="0"/>
          <w14:ligatures w14:val="none"/>
        </w:rPr>
        <w:t>At bruge spilaktiviteter til at øve statistik og sandsynlighed i enkel form (fx probabilistiske spil, vendespil, hvor elever vurderer chance).</w:t>
      </w:r>
    </w:p>
    <w:p w14:paraId="3686D56B" w14:textId="77777777" w:rsidR="00C079F1" w:rsidRDefault="00C079F1" w:rsidP="684ED978">
      <w:pPr>
        <w:numPr>
          <w:ilvl w:val="0"/>
          <w:numId w:val="2"/>
        </w:numPr>
        <w:spacing w:before="100" w:beforeAutospacing="1" w:after="100" w:afterAutospacing="1" w:line="240" w:lineRule="auto"/>
        <w:rPr>
          <w:rFonts w:ascii="Arial" w:eastAsia="Arial" w:hAnsi="Arial" w:cs="Arial"/>
          <w:kern w:val="0"/>
          <w14:ligatures w14:val="none"/>
        </w:rPr>
      </w:pPr>
      <w:r w:rsidRPr="684ED978">
        <w:rPr>
          <w:rFonts w:ascii="Arial" w:eastAsia="Arial" w:hAnsi="Arial" w:cs="Arial"/>
          <w:kern w:val="0"/>
          <w14:ligatures w14:val="none"/>
        </w:rPr>
        <w:t>At dokumentere og evaluere, hvilke elever der udvikler sig i hvilke kompetencer – så læreren kan justere grupper og valg af spil med henblik på at løfte de elever, der arbejder langsommere.</w:t>
      </w:r>
    </w:p>
    <w:p w14:paraId="1E81CE00" w14:textId="71F67AEB" w:rsidR="684ED978" w:rsidRDefault="684ED978" w:rsidP="684ED978">
      <w:pPr>
        <w:spacing w:beforeAutospacing="1" w:afterAutospacing="1" w:line="240" w:lineRule="auto"/>
        <w:rPr>
          <w:rFonts w:ascii="Arial" w:eastAsia="Arial" w:hAnsi="Arial" w:cs="Arial"/>
        </w:rPr>
      </w:pPr>
    </w:p>
    <w:p w14:paraId="2C9A4DFB" w14:textId="473C7C0C" w:rsidR="17B87508" w:rsidRDefault="17B87508" w:rsidP="684ED978">
      <w:pPr>
        <w:spacing w:beforeAutospacing="1" w:afterAutospacing="1" w:line="240" w:lineRule="auto"/>
        <w:rPr>
          <w:rFonts w:ascii="Arial" w:eastAsia="Arial" w:hAnsi="Arial" w:cs="Arial"/>
          <w:b/>
          <w:bCs/>
        </w:rPr>
      </w:pPr>
      <w:r w:rsidRPr="684ED978">
        <w:rPr>
          <w:rFonts w:ascii="Arial" w:eastAsia="Arial" w:hAnsi="Arial" w:cs="Arial"/>
          <w:b/>
          <w:bCs/>
        </w:rPr>
        <w:t>Udfordringer med formen i undervisningen</w:t>
      </w:r>
    </w:p>
    <w:p w14:paraId="18A4E800" w14:textId="77777777" w:rsidR="00560277" w:rsidRDefault="00560277" w:rsidP="684ED978">
      <w:pPr>
        <w:pStyle w:val="p1"/>
        <w:rPr>
          <w:rFonts w:ascii="Arial" w:eastAsia="Arial" w:hAnsi="Arial" w:cs="Arial"/>
        </w:rPr>
      </w:pPr>
    </w:p>
    <w:p w14:paraId="5986C5E0" w14:textId="1A8628F5" w:rsidR="007479FA" w:rsidRDefault="17B87508" w:rsidP="684ED978">
      <w:pPr>
        <w:spacing w:beforeAutospacing="1" w:afterAutospacing="1" w:line="240" w:lineRule="auto"/>
        <w:rPr>
          <w:rFonts w:ascii="Arial" w:eastAsia="Arial" w:hAnsi="Arial" w:cs="Arial"/>
        </w:rPr>
      </w:pPr>
      <w:r w:rsidRPr="684ED978">
        <w:rPr>
          <w:rFonts w:ascii="Arial" w:eastAsia="Arial" w:hAnsi="Arial" w:cs="Arial"/>
        </w:rPr>
        <w:t>Kræver tydelig struktur og planlægning af grupper. Risiko for, at nogle elever fordyber sig mindre i spillet, hvis regler eller mål ikke er klare. Overgangen mellem værksteder kan tage tid, hvis rammerne ikke er tydeligt kommunikeret.</w:t>
      </w:r>
    </w:p>
    <w:p w14:paraId="6136E8E5" w14:textId="544A6A00" w:rsidR="007479FA" w:rsidRDefault="007479FA" w:rsidP="684ED978">
      <w:pPr>
        <w:spacing w:beforeAutospacing="1" w:afterAutospacing="1" w:line="240" w:lineRule="auto"/>
        <w:rPr>
          <w:rFonts w:ascii="Times New Roman" w:hAnsi="Times New Roman" w:cs="Times New Roman"/>
        </w:rPr>
      </w:pPr>
    </w:p>
    <w:p w14:paraId="4A9AA158" w14:textId="5CD5414D" w:rsidR="007479FA" w:rsidRDefault="17B87508" w:rsidP="684ED978">
      <w:pPr>
        <w:spacing w:beforeAutospacing="1" w:afterAutospacing="1" w:line="240" w:lineRule="auto"/>
        <w:rPr>
          <w:rFonts w:ascii="Arial" w:eastAsia="Arial" w:hAnsi="Arial" w:cs="Arial"/>
        </w:rPr>
      </w:pPr>
      <w:r w:rsidRPr="684ED978">
        <w:rPr>
          <w:rFonts w:ascii="Arial" w:eastAsia="Arial" w:hAnsi="Arial" w:cs="Arial"/>
        </w:rPr>
        <w:t xml:space="preserve">Derfor har værkstederne været én af dagene om ugen og mere klassisk undervisning i bogen den anden dag. </w:t>
      </w:r>
    </w:p>
    <w:sectPr w:rsidR="007479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04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305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515246">
    <w:abstractNumId w:val="0"/>
  </w:num>
  <w:num w:numId="2" w16cid:durableId="3219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FA"/>
    <w:rsid w:val="000F050C"/>
    <w:rsid w:val="00255F8E"/>
    <w:rsid w:val="002D0D4A"/>
    <w:rsid w:val="00560277"/>
    <w:rsid w:val="006C760B"/>
    <w:rsid w:val="007479FA"/>
    <w:rsid w:val="00924099"/>
    <w:rsid w:val="00A77150"/>
    <w:rsid w:val="00BC3F42"/>
    <w:rsid w:val="00C079F1"/>
    <w:rsid w:val="00C41CEC"/>
    <w:rsid w:val="00D11E02"/>
    <w:rsid w:val="05ED398C"/>
    <w:rsid w:val="08AF5BF5"/>
    <w:rsid w:val="0A53B52A"/>
    <w:rsid w:val="0C273B47"/>
    <w:rsid w:val="17B87508"/>
    <w:rsid w:val="203AB114"/>
    <w:rsid w:val="272740C0"/>
    <w:rsid w:val="28453D76"/>
    <w:rsid w:val="28C951B8"/>
    <w:rsid w:val="2E6110F4"/>
    <w:rsid w:val="3D37ADD6"/>
    <w:rsid w:val="3E3B1C7E"/>
    <w:rsid w:val="40656B56"/>
    <w:rsid w:val="434496EC"/>
    <w:rsid w:val="5CB01FD9"/>
    <w:rsid w:val="5DFE4D7A"/>
    <w:rsid w:val="6658D2EA"/>
    <w:rsid w:val="684ED978"/>
    <w:rsid w:val="6DA0E518"/>
    <w:rsid w:val="722FBE5D"/>
    <w:rsid w:val="768450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663E1F"/>
  <w15:chartTrackingRefBased/>
  <w15:docId w15:val="{0099BC09-4EED-4430-B6B4-417CF2A4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7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9FA"/>
    <w:rPr>
      <w:rFonts w:eastAsiaTheme="majorEastAsia" w:cstheme="majorBidi"/>
      <w:color w:val="272727" w:themeColor="text1" w:themeTint="D8"/>
    </w:rPr>
  </w:style>
  <w:style w:type="paragraph" w:styleId="Title">
    <w:name w:val="Title"/>
    <w:basedOn w:val="Normal"/>
    <w:next w:val="Normal"/>
    <w:link w:val="TitleChar"/>
    <w:uiPriority w:val="10"/>
    <w:qFormat/>
    <w:rsid w:val="0074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9FA"/>
    <w:pPr>
      <w:spacing w:before="160"/>
      <w:jc w:val="center"/>
    </w:pPr>
    <w:rPr>
      <w:i/>
      <w:iCs/>
      <w:color w:val="404040" w:themeColor="text1" w:themeTint="BF"/>
    </w:rPr>
  </w:style>
  <w:style w:type="character" w:customStyle="1" w:styleId="QuoteChar">
    <w:name w:val="Quote Char"/>
    <w:basedOn w:val="DefaultParagraphFont"/>
    <w:link w:val="Quote"/>
    <w:uiPriority w:val="29"/>
    <w:rsid w:val="007479FA"/>
    <w:rPr>
      <w:i/>
      <w:iCs/>
      <w:color w:val="404040" w:themeColor="text1" w:themeTint="BF"/>
    </w:rPr>
  </w:style>
  <w:style w:type="paragraph" w:styleId="ListParagraph">
    <w:name w:val="List Paragraph"/>
    <w:basedOn w:val="Normal"/>
    <w:uiPriority w:val="34"/>
    <w:qFormat/>
    <w:rsid w:val="007479FA"/>
    <w:pPr>
      <w:ind w:left="720"/>
      <w:contextualSpacing/>
    </w:pPr>
  </w:style>
  <w:style w:type="character" w:styleId="IntenseEmphasis">
    <w:name w:val="Intense Emphasis"/>
    <w:basedOn w:val="DefaultParagraphFont"/>
    <w:uiPriority w:val="21"/>
    <w:qFormat/>
    <w:rsid w:val="007479FA"/>
    <w:rPr>
      <w:i/>
      <w:iCs/>
      <w:color w:val="0F4761" w:themeColor="accent1" w:themeShade="BF"/>
    </w:rPr>
  </w:style>
  <w:style w:type="paragraph" w:styleId="IntenseQuote">
    <w:name w:val="Intense Quote"/>
    <w:basedOn w:val="Normal"/>
    <w:next w:val="Normal"/>
    <w:link w:val="IntenseQuoteChar"/>
    <w:uiPriority w:val="30"/>
    <w:qFormat/>
    <w:rsid w:val="00747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9FA"/>
    <w:rPr>
      <w:i/>
      <w:iCs/>
      <w:color w:val="0F4761" w:themeColor="accent1" w:themeShade="BF"/>
    </w:rPr>
  </w:style>
  <w:style w:type="character" w:styleId="IntenseReference">
    <w:name w:val="Intense Reference"/>
    <w:basedOn w:val="DefaultParagraphFont"/>
    <w:uiPriority w:val="32"/>
    <w:qFormat/>
    <w:rsid w:val="007479FA"/>
    <w:rPr>
      <w:b/>
      <w:bCs/>
      <w:smallCaps/>
      <w:color w:val="0F4761" w:themeColor="accent1" w:themeShade="BF"/>
      <w:spacing w:val="5"/>
    </w:rPr>
  </w:style>
  <w:style w:type="paragraph" w:customStyle="1" w:styleId="p1">
    <w:name w:val="p1"/>
    <w:basedOn w:val="Normal"/>
    <w:rsid w:val="007479F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7479FA"/>
  </w:style>
  <w:style w:type="paragraph" w:customStyle="1" w:styleId="p2">
    <w:name w:val="p2"/>
    <w:basedOn w:val="Normal"/>
    <w:rsid w:val="007479F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7479FA"/>
  </w:style>
  <w:style w:type="character" w:customStyle="1" w:styleId="s3">
    <w:name w:val="s3"/>
    <w:basedOn w:val="DefaultParagraphFont"/>
    <w:rsid w:val="007479FA"/>
  </w:style>
  <w:style w:type="paragraph" w:customStyle="1" w:styleId="p3">
    <w:name w:val="p3"/>
    <w:basedOn w:val="Normal"/>
    <w:rsid w:val="00560277"/>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56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A7A4DED4B14042878D2F5C22CDB52F" ma:contentTypeVersion="18" ma:contentTypeDescription="Opret et nyt dokument." ma:contentTypeScope="" ma:versionID="d425a8a7e21ffc87daf59dee18e87949">
  <xsd:schema xmlns:xsd="http://www.w3.org/2001/XMLSchema" xmlns:xs="http://www.w3.org/2001/XMLSchema" xmlns:p="http://schemas.microsoft.com/office/2006/metadata/properties" xmlns:ns2="6efda7ae-6dd6-4963-be42-505e84e16a79" xmlns:ns3="11289586-c026-40d2-9d61-7c9adc7a9712" targetNamespace="http://schemas.microsoft.com/office/2006/metadata/properties" ma:root="true" ma:fieldsID="cecf5b11f77f0e0d441affd5732cbe48" ns2:_="" ns3:_="">
    <xsd:import namespace="6efda7ae-6dd6-4963-be42-505e84e16a79"/>
    <xsd:import namespace="11289586-c026-40d2-9d61-7c9adc7a97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a7ae-6dd6-4963-be42-505e84e16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ad3fceb9-6759-4a34-98ed-9986b4472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89586-c026-40d2-9d61-7c9adc7a971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c5c6df9-e7e8-4921-8daf-a91ee1b44582}" ma:internalName="TaxCatchAll" ma:showField="CatchAllData" ma:web="11289586-c026-40d2-9d61-7c9adc7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289586-c026-40d2-9d61-7c9adc7a9712" xsi:nil="true"/>
    <lcf76f155ced4ddcb4097134ff3c332f xmlns="6efda7ae-6dd6-4963-be42-505e84e16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7571F6-3B55-4FB9-891B-80DC44ED0775}"/>
</file>

<file path=customXml/itemProps2.xml><?xml version="1.0" encoding="utf-8"?>
<ds:datastoreItem xmlns:ds="http://schemas.openxmlformats.org/officeDocument/2006/customXml" ds:itemID="{2BFA1239-F89C-496C-8A49-DAD7BD0AD4F6}"/>
</file>

<file path=customXml/itemProps3.xml><?xml version="1.0" encoding="utf-8"?>
<ds:datastoreItem xmlns:ds="http://schemas.openxmlformats.org/officeDocument/2006/customXml" ds:itemID="{74B9023D-254A-4997-B374-65DBA2BA7908}"/>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4208</Characters>
  <Application>Microsoft Office Word</Application>
  <DocSecurity>4</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Havsager Prentow</dc:creator>
  <cp:keywords/>
  <dc:description/>
  <cp:lastModifiedBy>Stephanie Havsager Prentow</cp:lastModifiedBy>
  <cp:revision>8</cp:revision>
  <dcterms:created xsi:type="dcterms:W3CDTF">2025-09-25T03:39:00Z</dcterms:created>
  <dcterms:modified xsi:type="dcterms:W3CDTF">2025-09-25T09:18:00Z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0x0101009DA7A4DED4B14042878D2F5C22CDB52F</vt:lpwstr>
  </property>
</Properties>
</file>